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BE" w:rsidRPr="004D71F4" w:rsidRDefault="00BC24BE" w:rsidP="00185FC3">
      <w:pPr>
        <w:jc w:val="center"/>
        <w:rPr>
          <w:rFonts w:ascii="Simplified Arabic" w:hAnsi="Simplified Arabic"/>
          <w:b/>
          <w:bCs/>
          <w:color w:val="FF0000"/>
          <w:sz w:val="32"/>
          <w:szCs w:val="32"/>
          <w:u w:val="thick"/>
          <w:lang w:bidi="ar-JO"/>
        </w:rPr>
      </w:pPr>
      <w:r w:rsidRPr="004D71F4">
        <w:rPr>
          <w:rFonts w:ascii="Simplified Arabic" w:hAnsi="Simplified Arabic"/>
          <w:b/>
          <w:bCs/>
          <w:color w:val="FF0000"/>
          <w:u w:val="thick"/>
          <w:rtl/>
          <w:lang w:bidi="ar-JO"/>
        </w:rPr>
        <w:t>المهام والواجبات الرئيسية</w:t>
      </w:r>
      <w:r w:rsidRPr="004D71F4">
        <w:rPr>
          <w:rFonts w:ascii="Simplified Arabic" w:hAnsi="Simplified Arabic"/>
          <w:b/>
          <w:bCs/>
          <w:color w:val="FF0000"/>
          <w:sz w:val="32"/>
          <w:szCs w:val="32"/>
          <w:u w:val="thick"/>
          <w:rtl/>
          <w:lang w:bidi="ar-JO"/>
        </w:rPr>
        <w:t xml:space="preserve"> لمديرية </w:t>
      </w:r>
      <w:r w:rsidR="00185FC3" w:rsidRPr="004D71F4">
        <w:rPr>
          <w:rFonts w:ascii="Simplified Arabic" w:hAnsi="Simplified Arabic" w:hint="cs"/>
          <w:b/>
          <w:bCs/>
          <w:color w:val="FF0000"/>
          <w:sz w:val="32"/>
          <w:szCs w:val="32"/>
          <w:u w:val="thick"/>
          <w:rtl/>
          <w:lang w:bidi="ar-JO"/>
        </w:rPr>
        <w:t xml:space="preserve">التخطيط والدراسات </w:t>
      </w:r>
    </w:p>
    <w:p w:rsidR="00BC24BE" w:rsidRPr="004D71F4" w:rsidRDefault="00103C19" w:rsidP="00BC24BE">
      <w:pPr>
        <w:jc w:val="left"/>
        <w:rPr>
          <w:rFonts w:ascii="Simplified Arabic" w:hAnsi="Simplified Arabic"/>
          <w:b/>
          <w:bCs/>
          <w:color w:val="FF0000"/>
          <w:rtl/>
          <w:lang w:bidi="ar-JO"/>
        </w:rPr>
      </w:pPr>
      <w:r>
        <w:rPr>
          <w:rFonts w:ascii="Simplified Arabic" w:hAnsi="Simplified Arabic" w:hint="cs"/>
          <w:b/>
          <w:bCs/>
          <w:color w:val="FF0000"/>
          <w:rtl/>
          <w:lang w:bidi="ar-JO"/>
        </w:rPr>
        <w:t>المهام والواجبات الرئيسية:</w:t>
      </w:r>
    </w:p>
    <w:p w:rsidR="00BC24BE" w:rsidRDefault="00BC24BE" w:rsidP="00393E40">
      <w:pPr>
        <w:keepLines/>
        <w:numPr>
          <w:ilvl w:val="0"/>
          <w:numId w:val="1"/>
        </w:numPr>
        <w:spacing w:before="120" w:after="100" w:afterAutospacing="1"/>
        <w:ind w:left="368" w:hanging="284"/>
        <w:jc w:val="highKashida"/>
        <w:rPr>
          <w:rFonts w:ascii="Simplified Arabic" w:hAnsi="Simplified Arabic"/>
          <w:rtl/>
        </w:rPr>
      </w:pPr>
      <w:r>
        <w:rPr>
          <w:rFonts w:ascii="Simplified Arabic" w:hAnsi="Simplified Arabic"/>
          <w:rtl/>
        </w:rPr>
        <w:t>إدارة وتوجيه عمليات وسياسات تخطيط النقل للوزارة، وضمان استجابة نشاطات المديرية لاحتياجات كافة الشركاء من كافة الاطياف في قطاع النقل.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متابعة سياسات التطوير الحكومية الرئيسية وتحليل الاثر على قطاع النقل.</w:t>
      </w:r>
    </w:p>
    <w:p w:rsidR="00BC24BE" w:rsidRDefault="00BC24BE" w:rsidP="00393E40">
      <w:pPr>
        <w:keepLines/>
        <w:numPr>
          <w:ilvl w:val="0"/>
          <w:numId w:val="1"/>
        </w:numPr>
        <w:spacing w:before="120" w:after="100" w:afterAutospacing="1"/>
        <w:ind w:left="368" w:hanging="284"/>
        <w:jc w:val="highKashida"/>
        <w:rPr>
          <w:rFonts w:ascii="Simplified Arabic" w:hAnsi="Simplified Arabic"/>
        </w:rPr>
      </w:pPr>
      <w:r>
        <w:rPr>
          <w:rFonts w:ascii="Simplified Arabic" w:hAnsi="Simplified Arabic"/>
          <w:rtl/>
        </w:rPr>
        <w:t>تطوير وتحديث س</w:t>
      </w:r>
      <w:bookmarkStart w:id="0" w:name="_GoBack"/>
      <w:bookmarkEnd w:id="0"/>
      <w:r>
        <w:rPr>
          <w:rFonts w:ascii="Simplified Arabic" w:hAnsi="Simplified Arabic"/>
          <w:rtl/>
        </w:rPr>
        <w:t>ياسات قطاع النقل والتخطيط الاستراتيجي من حيث تطوير سياسة نقل وطنية مستدامة لتعزيز كافة انماط النقل</w:t>
      </w:r>
      <w:r>
        <w:rPr>
          <w:rFonts w:ascii="Simplified Arabic" w:eastAsia="Calibri" w:hAnsi="Simplified Arabic"/>
          <w:color w:val="000000" w:themeColor="text1"/>
          <w:rtl/>
        </w:rPr>
        <w:t xml:space="preserve"> من اجل ضمان كفاءة انظمة النقل وسلامتها وضمان التجاوب مع متطلبات قطاع النقل.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متابعة الاقتصاد الخارجي وتأثيره على الاقتصاد المحلي بشكل عام  وعلى قطاع النقل بشكل خاص، ودراسة القدرة التنافسية الاقتصادية لقطاع النقل.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تطوير سياسة نقل وطنية مستدامة لتعزيز كافة انماط النقل، مع رؤية لضمان انظمة الكفاءة والامن والسلامة في قطاع النقل، وضمان التجاوب مع متطلبات قطاع النقل.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تطوير سياسة البنية التحتية للقطاع لتقييم مشاريع البنية التحتية في مختلف انماط النقل.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مراجعة وتحديث سياسات قطاع النقل بالتنسيق مع الجهات/السلطات ذات العلاقة للاستجابة للمتغيرات والمتطلبات والاحتياجات التي تطرأ على قطاع النقل في حينه.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تطوير استراتيجيات قطاع النقل في ضوء سياسة النقل الوطنية للنقل على الطرق والسكك والنقل الجوي والبحري، شاملة جدول زمني ومراحل التنفيذ والمسؤوليات الادارية والخطط المالية.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 xml:space="preserve">تطوير مؤشرات الاداء الرئيسية </w:t>
      </w:r>
      <w:r>
        <w:rPr>
          <w:rFonts w:ascii="Simplified Arabic" w:hAnsi="Simplified Arabic"/>
          <w:lang w:bidi="ar-JO"/>
        </w:rPr>
        <w:t>(KPIs)</w:t>
      </w:r>
      <w:r>
        <w:rPr>
          <w:rFonts w:ascii="Simplified Arabic" w:hAnsi="Simplified Arabic"/>
          <w:rtl/>
          <w:lang w:bidi="ar-JO"/>
        </w:rPr>
        <w:t xml:space="preserve"> </w:t>
      </w:r>
      <w:r>
        <w:rPr>
          <w:rFonts w:ascii="Simplified Arabic" w:hAnsi="Simplified Arabic" w:hint="cs"/>
          <w:rtl/>
          <w:lang w:bidi="ar-JO"/>
        </w:rPr>
        <w:t>وتحديد معايير الاداء التي تساعد مديرية متابعة وتقييم النقل في تقييم فعالية عملية تنفيذ الاستراتيجية، وتتبع التقدم في مختلف المراحل وتصويب الاوضاع حيثما كان ذلك مطلوبا</w:t>
      </w:r>
      <w:r w:rsidR="00B100FA">
        <w:rPr>
          <w:rFonts w:ascii="Simplified Arabic" w:hAnsi="Simplified Arabic" w:hint="cs"/>
          <w:rtl/>
          <w:lang w:bidi="ar-JO"/>
        </w:rPr>
        <w:t>ً</w:t>
      </w:r>
      <w:r>
        <w:rPr>
          <w:rFonts w:ascii="Simplified Arabic" w:hAnsi="Simplified Arabic" w:hint="cs"/>
          <w:rtl/>
          <w:lang w:bidi="ar-JO"/>
        </w:rPr>
        <w:t>.</w:t>
      </w:r>
    </w:p>
    <w:p w:rsidR="00BC24BE" w:rsidRDefault="00BC24BE" w:rsidP="00393E40">
      <w:pPr>
        <w:keepLines/>
        <w:numPr>
          <w:ilvl w:val="0"/>
          <w:numId w:val="1"/>
        </w:numPr>
        <w:spacing w:before="120" w:after="100" w:afterAutospacing="1"/>
        <w:ind w:left="368" w:hanging="284"/>
        <w:jc w:val="highKashida"/>
        <w:rPr>
          <w:rFonts w:ascii="Simplified Arabic" w:hAnsi="Simplified Arabic"/>
          <w:color w:val="000000" w:themeColor="text1"/>
        </w:rPr>
      </w:pPr>
      <w:r>
        <w:rPr>
          <w:rFonts w:ascii="Simplified Arabic" w:hAnsi="Simplified Arabic"/>
          <w:color w:val="000000" w:themeColor="text1"/>
          <w:rtl/>
        </w:rPr>
        <w:lastRenderedPageBreak/>
        <w:t>تسويق وتطوير مفاهيم الشراكة مع القطاع الخاص.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المشاركة في تخطيط وتطوير مشاريع النقل الرئيسية.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التخطيط لموارد مشاريع النقل والدراسات المتعلقة بها.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تحضير خطط مشاريع مقترحة في قطاع النقل بالتنسيق مع الجهات المعنية وتقديم هذه المقترحات لوزارة التخطيط والتعاون الدولي.</w:t>
      </w:r>
    </w:p>
    <w:p w:rsidR="00BC24BE" w:rsidRDefault="004D71F4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 w:hint="cs"/>
          <w:rtl/>
          <w:lang w:bidi="ar-JO"/>
        </w:rPr>
        <w:t>اعداد</w:t>
      </w:r>
      <w:r w:rsidR="00D01469">
        <w:rPr>
          <w:rFonts w:ascii="Simplified Arabic" w:hAnsi="Simplified Arabic" w:hint="cs"/>
          <w:rtl/>
          <w:lang w:bidi="ar-JO"/>
        </w:rPr>
        <w:t xml:space="preserve"> </w:t>
      </w:r>
      <w:r w:rsidR="00BC24BE">
        <w:rPr>
          <w:rFonts w:ascii="Simplified Arabic" w:hAnsi="Simplified Arabic"/>
          <w:rtl/>
          <w:lang w:bidi="ar-JO"/>
        </w:rPr>
        <w:t>دراسات جدوى واعداد ابحاث لقطاع نقل متطور، لتحسين كفاءة هذا القطاع، واصدار تقارير ونشرات دورية بهذا الخصوص.</w:t>
      </w:r>
    </w:p>
    <w:p w:rsidR="00BC24BE" w:rsidRDefault="00BC24BE" w:rsidP="00393E40">
      <w:pPr>
        <w:pStyle w:val="ListParagraph"/>
        <w:numPr>
          <w:ilvl w:val="0"/>
          <w:numId w:val="1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اعداد التقرير السنوي لوزارة النقل بالتنسيق مع الاطراف المعنية.</w:t>
      </w: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Default="00BC24BE" w:rsidP="00BC24BE">
      <w:pPr>
        <w:tabs>
          <w:tab w:val="right" w:pos="146"/>
        </w:tabs>
        <w:ind w:left="4"/>
        <w:jc w:val="highKashida"/>
        <w:rPr>
          <w:rFonts w:ascii="Simplified Arabic" w:hAnsi="Simplified Arabic"/>
          <w:rtl/>
          <w:lang w:bidi="ar-JO"/>
        </w:rPr>
      </w:pPr>
    </w:p>
    <w:p w:rsidR="00BC24BE" w:rsidRPr="00D01469" w:rsidRDefault="00BC24BE" w:rsidP="00D01469">
      <w:pPr>
        <w:ind w:left="4"/>
        <w:jc w:val="left"/>
        <w:rPr>
          <w:b/>
          <w:bCs/>
          <w:color w:val="FF0000"/>
          <w:u w:val="single"/>
          <w:lang w:bidi="ar-JO"/>
        </w:rPr>
      </w:pPr>
      <w:r w:rsidRPr="00D01469">
        <w:rPr>
          <w:b/>
          <w:bCs/>
          <w:color w:val="FF0000"/>
          <w:u w:val="single"/>
          <w:rtl/>
          <w:lang w:bidi="ar-JO"/>
        </w:rPr>
        <w:lastRenderedPageBreak/>
        <w:t>قسم</w:t>
      </w:r>
      <w:r w:rsidRPr="00D01469">
        <w:rPr>
          <w:rFonts w:hint="cs"/>
          <w:b/>
          <w:bCs/>
          <w:color w:val="FF0000"/>
          <w:u w:val="single"/>
          <w:lang w:bidi="ar-JO"/>
        </w:rPr>
        <w:t xml:space="preserve"> </w:t>
      </w:r>
      <w:r w:rsidRPr="00D01469">
        <w:rPr>
          <w:b/>
          <w:bCs/>
          <w:color w:val="FF0000"/>
          <w:u w:val="single"/>
          <w:rtl/>
          <w:lang w:bidi="ar-JO"/>
        </w:rPr>
        <w:t>سياسات النقل والتخطيط الاستراتيجي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rtl/>
          <w:lang w:bidi="ar-JO"/>
        </w:rPr>
      </w:pPr>
      <w:r>
        <w:rPr>
          <w:rFonts w:ascii="Simplified Arabic" w:hAnsi="Simplified Arabic"/>
          <w:rtl/>
          <w:lang w:bidi="ar-JO"/>
        </w:rPr>
        <w:t>تطوير خطط شاملة لتطوير سياسات قطاع النقل والمشاركة في ادارة وتوجيه التخطيط لسياسات قطاع النقل مع ضمان استجابة انشطة المديرية لمتطلبات قطاع النقل.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تطوير سياسة نقل وطنية مستدامة لتعزيز كافة انماط النقل مع وجود رؤية لضمان انظمة الكفاءة والسلامة والامن وضمان التجاوب مع متطلبات قطاع النقل.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b/>
          <w:bCs/>
          <w:lang w:bidi="ar-JO"/>
        </w:rPr>
      </w:pPr>
      <w:r>
        <w:rPr>
          <w:rFonts w:ascii="Simplified Arabic" w:hAnsi="Simplified Arabic"/>
          <w:rtl/>
          <w:lang w:bidi="ar-JO"/>
        </w:rPr>
        <w:t>تطوير سياسة البنية التحتية لوزارة النقل لتحديد وتقييم مشاريع البنية التحتية في مختلف انماط النقل</w:t>
      </w:r>
      <w:r>
        <w:rPr>
          <w:b/>
          <w:bCs/>
          <w:rtl/>
          <w:lang w:bidi="ar-JO"/>
        </w:rPr>
        <w:t>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مراجعة وتحديث سياسات قطاع النقل بالتنسيق مع الجهات/السلطات ذات العلاقة للاستجابة للمتغيرات والمتطلبات والاحتياجات التي تطرأ على قطاع النقل في حينه.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تطوير استراتيجيات قطاع النقل في ضوء سياسة النقل الوطنية للنقل على الطرق والسكك والنقل الجوي والبحري، شاملة جدول زمني ومراحل التنفيذ والمسؤوليات الادارية والخطط المالية.</w:t>
      </w:r>
    </w:p>
    <w:p w:rsidR="00BC24BE" w:rsidRDefault="00BC24BE" w:rsidP="00B100FA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 xml:space="preserve">تطوير مؤشرات الاداء الرئيسية </w:t>
      </w:r>
      <w:r>
        <w:rPr>
          <w:rFonts w:ascii="Simplified Arabic" w:hAnsi="Simplified Arabic"/>
          <w:lang w:bidi="ar-JO"/>
        </w:rPr>
        <w:t>(KP</w:t>
      </w:r>
      <w:r w:rsidR="00B100FA">
        <w:rPr>
          <w:rFonts w:ascii="Simplified Arabic" w:hAnsi="Simplified Arabic"/>
          <w:lang w:bidi="ar-JO"/>
        </w:rPr>
        <w:t>I</w:t>
      </w:r>
      <w:r>
        <w:rPr>
          <w:rFonts w:ascii="Simplified Arabic" w:hAnsi="Simplified Arabic"/>
          <w:lang w:bidi="ar-JO"/>
        </w:rPr>
        <w:t>s)</w:t>
      </w:r>
      <w:r>
        <w:rPr>
          <w:rFonts w:ascii="Simplified Arabic" w:hAnsi="Simplified Arabic"/>
          <w:rtl/>
          <w:lang w:bidi="ar-JO"/>
        </w:rPr>
        <w:t xml:space="preserve"> وتحديد معايير الاداء التي تساعد مديرية متابعة وتقييم النقل في تقييم فعالية عملية تنفيذ الاستراتيجية، وتتبع التقدم في مختلف المراحل وتصويب الاوضاع حيثما كان ذلك مطلوبا</w:t>
      </w:r>
      <w:r w:rsidR="00B100FA">
        <w:rPr>
          <w:rFonts w:ascii="Simplified Arabic" w:hAnsi="Simplified Arabic" w:hint="cs"/>
          <w:rtl/>
          <w:lang w:bidi="ar-JO"/>
        </w:rPr>
        <w:t>ً</w:t>
      </w:r>
      <w:r>
        <w:rPr>
          <w:rFonts w:ascii="Simplified Arabic" w:hAnsi="Simplified Arabic"/>
          <w:rtl/>
          <w:lang w:bidi="ar-JO"/>
        </w:rPr>
        <w:t>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تطوير تمويل الاستراتيجيات مع التركيز على اعمال الصيانة ومعوقات الكفاءة وعدم وجود بنية تحتية متصلة (مترابطة)، فضلا</w:t>
      </w:r>
      <w:r w:rsidR="00B100FA">
        <w:rPr>
          <w:rFonts w:ascii="Simplified Arabic" w:hAnsi="Simplified Arabic" w:hint="cs"/>
          <w:rtl/>
          <w:lang w:bidi="ar-JO"/>
        </w:rPr>
        <w:t>ً</w:t>
      </w:r>
      <w:r>
        <w:rPr>
          <w:rFonts w:ascii="Simplified Arabic" w:hAnsi="Simplified Arabic"/>
          <w:rtl/>
          <w:lang w:bidi="ar-JO"/>
        </w:rPr>
        <w:t xml:space="preserve"> عن تعزيز مشاركة القطاع الخاص في مشاريع النقل.</w:t>
      </w:r>
    </w:p>
    <w:p w:rsidR="00BC24BE" w:rsidRDefault="00BC24BE" w:rsidP="00B100FA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مراجعة وتحديث مستمر لاستراتيجيات قطاع النقل وخطط العمل وفقا</w:t>
      </w:r>
      <w:r w:rsidR="00B100FA">
        <w:rPr>
          <w:rFonts w:ascii="Simplified Arabic" w:hAnsi="Simplified Arabic" w:hint="cs"/>
          <w:rtl/>
          <w:lang w:bidi="ar-JO"/>
        </w:rPr>
        <w:t>ً</w:t>
      </w:r>
      <w:r>
        <w:rPr>
          <w:rFonts w:ascii="Simplified Arabic" w:hAnsi="Simplified Arabic"/>
          <w:rtl/>
          <w:lang w:bidi="ar-JO"/>
        </w:rPr>
        <w:t xml:space="preserve"> للأجندة الوطنية لمواجهة الطلب في </w:t>
      </w:r>
      <w:r w:rsidR="00B100FA">
        <w:rPr>
          <w:rFonts w:ascii="Simplified Arabic" w:hAnsi="Simplified Arabic" w:hint="cs"/>
          <w:rtl/>
          <w:lang w:bidi="ar-JO"/>
        </w:rPr>
        <w:t>ق</w:t>
      </w:r>
      <w:r>
        <w:rPr>
          <w:rFonts w:ascii="Simplified Arabic" w:hAnsi="Simplified Arabic"/>
          <w:rtl/>
          <w:lang w:bidi="ar-JO"/>
        </w:rPr>
        <w:t>طاع النقل بالتعاون مع مديرية متابعة وتقييم النقل في الوزارة وبالتنسيق مع الهيئات والمؤسسات التابعة لوزارة النقل.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التواصل مع الشركاء الرئيسيين في قطاع النقل</w:t>
      </w:r>
      <w:r w:rsidR="00B100FA">
        <w:rPr>
          <w:rFonts w:ascii="Simplified Arabic" w:hAnsi="Simplified Arabic" w:hint="cs"/>
          <w:rtl/>
          <w:lang w:bidi="ar-JO"/>
        </w:rPr>
        <w:t xml:space="preserve"> والتعرف على احتياجاتهم.</w:t>
      </w:r>
    </w:p>
    <w:p w:rsidR="00BC24BE" w:rsidRDefault="00BC24BE" w:rsidP="00393E40">
      <w:pPr>
        <w:pStyle w:val="ListParagraph"/>
        <w:numPr>
          <w:ilvl w:val="0"/>
          <w:numId w:val="2"/>
        </w:numPr>
        <w:ind w:left="368" w:hanging="36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المشاركة في التخطيط والتطوير لمشاريع النقل الرئيسية.</w:t>
      </w:r>
    </w:p>
    <w:p w:rsidR="004D71F4" w:rsidRDefault="004D71F4" w:rsidP="00393E40">
      <w:pPr>
        <w:ind w:left="368" w:hanging="364"/>
        <w:jc w:val="highKashida"/>
        <w:rPr>
          <w:rFonts w:ascii="Simplified Arabic" w:hAnsi="Simplified Arabic"/>
          <w:rtl/>
          <w:lang w:bidi="ar-JO"/>
        </w:rPr>
      </w:pPr>
    </w:p>
    <w:p w:rsidR="00B100FA" w:rsidRDefault="00B100FA" w:rsidP="00393E40">
      <w:pPr>
        <w:ind w:left="368" w:hanging="364"/>
        <w:jc w:val="highKashida"/>
        <w:rPr>
          <w:rFonts w:ascii="Simplified Arabic" w:hAnsi="Simplified Arabic"/>
          <w:rtl/>
          <w:lang w:bidi="ar-JO"/>
        </w:rPr>
      </w:pPr>
    </w:p>
    <w:p w:rsidR="00B100FA" w:rsidRDefault="00B100FA" w:rsidP="00393E40">
      <w:pPr>
        <w:ind w:left="368" w:hanging="364"/>
        <w:jc w:val="highKashida"/>
        <w:rPr>
          <w:rFonts w:ascii="Simplified Arabic" w:hAnsi="Simplified Arabic"/>
          <w:rtl/>
          <w:lang w:bidi="ar-JO"/>
        </w:rPr>
      </w:pPr>
    </w:p>
    <w:p w:rsidR="00BC24BE" w:rsidRPr="00D01469" w:rsidRDefault="00BC24BE" w:rsidP="001417CE">
      <w:pPr>
        <w:ind w:left="4"/>
        <w:jc w:val="left"/>
        <w:rPr>
          <w:rFonts w:ascii="Simplified Arabic" w:hAnsi="Simplified Arabic"/>
          <w:b/>
          <w:bCs/>
          <w:color w:val="FF0000"/>
          <w:u w:val="single"/>
          <w:lang w:bidi="ar-JO"/>
        </w:rPr>
      </w:pPr>
      <w:r w:rsidRPr="00D01469">
        <w:rPr>
          <w:rFonts w:ascii="Simplified Arabic" w:hAnsi="Simplified Arabic"/>
          <w:b/>
          <w:bCs/>
          <w:color w:val="FF0000"/>
          <w:u w:val="single"/>
          <w:rtl/>
          <w:lang w:bidi="ar-JO"/>
        </w:rPr>
        <w:t>قسم الدراسات وا</w:t>
      </w:r>
      <w:r w:rsidR="001417CE" w:rsidRPr="00D01469">
        <w:rPr>
          <w:rFonts w:ascii="Simplified Arabic" w:hAnsi="Simplified Arabic" w:hint="cs"/>
          <w:b/>
          <w:bCs/>
          <w:color w:val="FF0000"/>
          <w:u w:val="single"/>
          <w:rtl/>
          <w:lang w:bidi="ar-JO"/>
        </w:rPr>
        <w:t>لا</w:t>
      </w:r>
      <w:r w:rsidR="00D01469" w:rsidRPr="00D01469">
        <w:rPr>
          <w:rFonts w:ascii="Simplified Arabic" w:hAnsi="Simplified Arabic"/>
          <w:b/>
          <w:bCs/>
          <w:color w:val="FF0000"/>
          <w:u w:val="single"/>
          <w:rtl/>
          <w:lang w:bidi="ar-JO"/>
        </w:rPr>
        <w:t>بحاث</w:t>
      </w:r>
    </w:p>
    <w:p w:rsidR="00BC24BE" w:rsidRDefault="004D71F4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rtl/>
          <w:lang w:bidi="ar-JO"/>
        </w:rPr>
      </w:pPr>
      <w:r>
        <w:rPr>
          <w:rFonts w:ascii="Simplified Arabic" w:hAnsi="Simplified Arabic" w:hint="cs"/>
          <w:rtl/>
          <w:lang w:bidi="ar-JO"/>
        </w:rPr>
        <w:t>اعداد</w:t>
      </w:r>
      <w:r w:rsidR="00BC24BE">
        <w:rPr>
          <w:rFonts w:ascii="Simplified Arabic" w:hAnsi="Simplified Arabic"/>
          <w:rtl/>
          <w:lang w:bidi="ar-JO"/>
        </w:rPr>
        <w:t xml:space="preserve"> دراسات جدوى اقتصادية لمشاريع قطاع النقل وتجهيز وتحضير التوصيات. </w:t>
      </w:r>
    </w:p>
    <w:p w:rsidR="00BC24BE" w:rsidRDefault="004D71F4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 w:hint="cs"/>
          <w:rtl/>
          <w:lang w:bidi="ar-JO"/>
        </w:rPr>
        <w:t>اعداد</w:t>
      </w:r>
      <w:r w:rsidR="00BC24BE">
        <w:rPr>
          <w:rFonts w:ascii="Simplified Arabic" w:hAnsi="Simplified Arabic"/>
          <w:rtl/>
          <w:lang w:bidi="ar-JO"/>
        </w:rPr>
        <w:t xml:space="preserve"> الدراسات التي تتعلق بفرص تمويل قطاع النقل وتحضير التقرير ذو العلاقة.</w:t>
      </w:r>
    </w:p>
    <w:p w:rsidR="00BC24BE" w:rsidRDefault="00BC24BE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تحضير التقارير ومتابعة اقتصاديات النقل وكفاءته وحيويته.</w:t>
      </w:r>
    </w:p>
    <w:p w:rsidR="00BC24BE" w:rsidRDefault="00BC24BE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مراجعة وتحديث الدراسات ومؤشرات الاداء والتطورات ذات العلاقة، لمتابعة التقارير والاستعلامات المتعلقة بسياسات وتخطيط قطاع النقل.</w:t>
      </w:r>
    </w:p>
    <w:p w:rsidR="00BC24BE" w:rsidRDefault="00BC24BE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تحضير خطط مشاريع مقترحة لتطوير قطاع النقل وطلبات تمويلها من مصادر خارجية بالتعاون مع الجهات المعنية وتقديم هذه المقترحات لوزارة التخطيط والتعاون الدولي.</w:t>
      </w:r>
    </w:p>
    <w:p w:rsidR="00BC24BE" w:rsidRDefault="00BC24BE" w:rsidP="00B100FA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تحضير (تحليل احتساب مؤشرات الاداء الرئيسية بشكل دوري وفقا</w:t>
      </w:r>
      <w:r w:rsidR="00B100FA">
        <w:rPr>
          <w:rFonts w:ascii="Simplified Arabic" w:hAnsi="Simplified Arabic" w:hint="cs"/>
          <w:rtl/>
          <w:lang w:bidi="ar-JO"/>
        </w:rPr>
        <w:t>ً</w:t>
      </w:r>
      <w:r>
        <w:rPr>
          <w:rFonts w:ascii="Simplified Arabic" w:hAnsi="Simplified Arabic"/>
          <w:rtl/>
          <w:lang w:bidi="ar-JO"/>
        </w:rPr>
        <w:t xml:space="preserve"> للاستراتيجية الوطنية للتخطيط طويل الامد </w:t>
      </w:r>
      <w:r w:rsidR="00B100FA">
        <w:rPr>
          <w:rFonts w:ascii="Simplified Arabic" w:hAnsi="Simplified Arabic" w:hint="cs"/>
          <w:rtl/>
          <w:lang w:bidi="ar-JO"/>
        </w:rPr>
        <w:t>(</w:t>
      </w:r>
      <w:r w:rsidR="00B100FA">
        <w:rPr>
          <w:rFonts w:ascii="Simplified Arabic" w:hAnsi="Simplified Arabic"/>
          <w:lang w:bidi="ar-JO"/>
        </w:rPr>
        <w:t>Long-term</w:t>
      </w:r>
      <w:r w:rsidR="00B100FA">
        <w:rPr>
          <w:rFonts w:ascii="Simplified Arabic" w:hAnsi="Simplified Arabic" w:hint="cs"/>
          <w:rtl/>
          <w:lang w:bidi="ar-JO"/>
        </w:rPr>
        <w:t xml:space="preserve">) </w:t>
      </w:r>
      <w:r>
        <w:rPr>
          <w:rFonts w:ascii="Simplified Arabic" w:hAnsi="Simplified Arabic"/>
          <w:rtl/>
          <w:lang w:bidi="ar-JO"/>
        </w:rPr>
        <w:t xml:space="preserve">وتقديم التقارير بهذا الخصوص الى قسم </w:t>
      </w:r>
      <w:r w:rsidR="004D71F4">
        <w:rPr>
          <w:rFonts w:ascii="Simplified Arabic" w:hAnsi="Simplified Arabic" w:hint="cs"/>
          <w:rtl/>
          <w:lang w:bidi="ar-JO"/>
        </w:rPr>
        <w:t xml:space="preserve">سياسات </w:t>
      </w:r>
      <w:r>
        <w:rPr>
          <w:rFonts w:ascii="Simplified Arabic" w:hAnsi="Simplified Arabic"/>
          <w:rtl/>
          <w:lang w:bidi="ar-JO"/>
        </w:rPr>
        <w:t xml:space="preserve">النقل </w:t>
      </w:r>
      <w:r w:rsidR="004D71F4">
        <w:rPr>
          <w:rFonts w:ascii="Simplified Arabic" w:hAnsi="Simplified Arabic" w:hint="cs"/>
          <w:rtl/>
          <w:lang w:bidi="ar-JO"/>
        </w:rPr>
        <w:t xml:space="preserve">والتخطيط الاستراتيجي </w:t>
      </w:r>
      <w:r>
        <w:rPr>
          <w:rFonts w:ascii="Simplified Arabic" w:hAnsi="Simplified Arabic"/>
          <w:rtl/>
          <w:lang w:bidi="ar-JO"/>
        </w:rPr>
        <w:t>من اجل عملية تقييم التقدم المحرز في العمل.</w:t>
      </w:r>
    </w:p>
    <w:p w:rsidR="00BC24BE" w:rsidRDefault="00BC24BE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rtl/>
          <w:lang w:bidi="ar-JO"/>
        </w:rPr>
      </w:pPr>
      <w:r>
        <w:rPr>
          <w:rFonts w:ascii="Simplified Arabic" w:hAnsi="Simplified Arabic"/>
          <w:rtl/>
          <w:lang w:bidi="ar-JO"/>
        </w:rPr>
        <w:t>اعداد تقرير احصائي عن توقعات (تنبؤات) حجم وسير النقل وتقديم التوصيات ذات العلاقة.</w:t>
      </w:r>
    </w:p>
    <w:p w:rsidR="00BC24BE" w:rsidRDefault="00BC24BE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القيام بتحليل كلف النقل لجميع انماط النقل.</w:t>
      </w:r>
    </w:p>
    <w:p w:rsidR="00BC24BE" w:rsidRDefault="004D71F4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 w:hint="cs"/>
          <w:rtl/>
          <w:lang w:bidi="ar-JO"/>
        </w:rPr>
        <w:t>اعداد</w:t>
      </w:r>
      <w:r w:rsidR="00BC24BE">
        <w:rPr>
          <w:rFonts w:ascii="Simplified Arabic" w:hAnsi="Simplified Arabic"/>
          <w:rtl/>
          <w:lang w:bidi="ar-JO"/>
        </w:rPr>
        <w:t xml:space="preserve"> الابحاث والتحليلات على مختلف المواضيع ذات العلاقة بقطاع النقل مثل (كفاءة قطاع النقل، كفاءة الطاقة المستخدمة في قطاع النقل).</w:t>
      </w:r>
    </w:p>
    <w:p w:rsidR="00BC24BE" w:rsidRDefault="00BC24BE" w:rsidP="00393E40">
      <w:pPr>
        <w:pStyle w:val="ListParagraph"/>
        <w:numPr>
          <w:ilvl w:val="0"/>
          <w:numId w:val="3"/>
        </w:numPr>
        <w:ind w:left="368" w:hanging="284"/>
        <w:jc w:val="highKashida"/>
        <w:rPr>
          <w:rFonts w:ascii="Simplified Arabic" w:hAnsi="Simplified Arabic"/>
          <w:lang w:bidi="ar-JO"/>
        </w:rPr>
      </w:pPr>
      <w:r>
        <w:rPr>
          <w:rFonts w:ascii="Simplified Arabic" w:hAnsi="Simplified Arabic"/>
          <w:rtl/>
          <w:lang w:bidi="ar-JO"/>
        </w:rPr>
        <w:t>اعداد التقرير السنوي للوزارة.</w:t>
      </w:r>
    </w:p>
    <w:p w:rsidR="00BC24BE" w:rsidRDefault="00BC24BE" w:rsidP="00BC24BE">
      <w:pPr>
        <w:tabs>
          <w:tab w:val="left" w:pos="146"/>
        </w:tabs>
        <w:ind w:left="4"/>
        <w:jc w:val="left"/>
        <w:rPr>
          <w:b/>
          <w:bCs/>
          <w:lang w:bidi="ar-JO"/>
        </w:rPr>
      </w:pPr>
    </w:p>
    <w:p w:rsidR="00BC24BE" w:rsidRDefault="00BC24BE" w:rsidP="00BC24BE">
      <w:pPr>
        <w:jc w:val="right"/>
        <w:rPr>
          <w:b/>
          <w:bCs/>
          <w:color w:val="FF0000"/>
          <w:sz w:val="30"/>
          <w:szCs w:val="30"/>
          <w:rtl/>
          <w:lang w:bidi="ar-JO"/>
        </w:rPr>
      </w:pPr>
      <w:r>
        <w:rPr>
          <w:b/>
          <w:bCs/>
          <w:color w:val="000000" w:themeColor="text1"/>
          <w:sz w:val="30"/>
          <w:szCs w:val="30"/>
          <w:rtl/>
          <w:lang w:bidi="ar-JO"/>
        </w:rPr>
        <w:t xml:space="preserve">           </w:t>
      </w:r>
    </w:p>
    <w:p w:rsidR="00BC24BE" w:rsidRDefault="00BC24BE" w:rsidP="00BC24BE">
      <w:pPr>
        <w:tabs>
          <w:tab w:val="left" w:pos="146"/>
        </w:tabs>
        <w:ind w:left="4"/>
        <w:jc w:val="left"/>
        <w:rPr>
          <w:b/>
          <w:bCs/>
          <w:rtl/>
          <w:lang w:bidi="ar-JO"/>
        </w:rPr>
      </w:pPr>
    </w:p>
    <w:sectPr w:rsidR="00BC24BE" w:rsidSect="00BC24B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5F8D"/>
    <w:multiLevelType w:val="hybridMultilevel"/>
    <w:tmpl w:val="C4E874E4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20423"/>
    <w:multiLevelType w:val="hybridMultilevel"/>
    <w:tmpl w:val="A49A3246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4388F"/>
    <w:multiLevelType w:val="hybridMultilevel"/>
    <w:tmpl w:val="0FAC7BE2"/>
    <w:lvl w:ilvl="0" w:tplc="8C6EFB22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74AFD"/>
    <w:multiLevelType w:val="hybridMultilevel"/>
    <w:tmpl w:val="6AFA508E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DF"/>
    <w:rsid w:val="00103C19"/>
    <w:rsid w:val="001417CE"/>
    <w:rsid w:val="00152EA3"/>
    <w:rsid w:val="00185FC3"/>
    <w:rsid w:val="001C30DF"/>
    <w:rsid w:val="002A1A1A"/>
    <w:rsid w:val="00393E40"/>
    <w:rsid w:val="004D71F4"/>
    <w:rsid w:val="005F5FC0"/>
    <w:rsid w:val="00B100FA"/>
    <w:rsid w:val="00BC245B"/>
    <w:rsid w:val="00BC24BE"/>
    <w:rsid w:val="00C04B81"/>
    <w:rsid w:val="00D0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BE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BE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I. Saleh</dc:creator>
  <cp:lastModifiedBy>Eman I. Saleh</cp:lastModifiedBy>
  <cp:revision>5</cp:revision>
  <dcterms:created xsi:type="dcterms:W3CDTF">2021-03-01T10:30:00Z</dcterms:created>
  <dcterms:modified xsi:type="dcterms:W3CDTF">2021-03-04T11:05:00Z</dcterms:modified>
</cp:coreProperties>
</file>